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8132"/>
      </w:tblGrid>
      <w:tr w:rsidR="00B808E4" w:rsidRPr="00CD7189" w:rsidTr="00067283">
        <w:trPr>
          <w:trHeight w:val="276"/>
        </w:trPr>
        <w:tc>
          <w:tcPr>
            <w:tcW w:w="9828" w:type="dxa"/>
            <w:gridSpan w:val="2"/>
          </w:tcPr>
          <w:p w:rsidR="00B808E4" w:rsidRPr="001E391C" w:rsidRDefault="001E391C" w:rsidP="00067283">
            <w:pPr>
              <w:spacing w:after="0" w:line="240" w:lineRule="auto"/>
              <w:jc w:val="center"/>
              <w:rPr>
                <w:rFonts w:ascii="Calibri" w:eastAsia="Times New Roman" w:hAnsi="Calibri" w:cs="Calibri"/>
                <w:b/>
                <w:color w:val="1F4E79" w:themeColor="accent1" w:themeShade="80"/>
                <w:sz w:val="24"/>
                <w:szCs w:val="24"/>
                <w:lang w:val="en-GB" w:eastAsia="en-GB"/>
              </w:rPr>
            </w:pPr>
            <w:bookmarkStart w:id="0" w:name="_Hlk517853664"/>
            <w:r w:rsidRPr="001E391C">
              <w:rPr>
                <w:rFonts w:ascii="Calibri" w:eastAsia="Times New Roman" w:hAnsi="Calibri" w:cs="Calibri"/>
                <w:b/>
                <w:color w:val="1F4E79" w:themeColor="accent1" w:themeShade="80"/>
                <w:sz w:val="24"/>
                <w:szCs w:val="24"/>
                <w:lang w:val="en-GB" w:eastAsia="en-GB"/>
              </w:rPr>
              <w:t xml:space="preserve">CHI General </w:t>
            </w:r>
            <w:r w:rsidR="00B808E4" w:rsidRPr="001E391C">
              <w:rPr>
                <w:rFonts w:ascii="Calibri" w:eastAsia="Times New Roman" w:hAnsi="Calibri" w:cs="Calibri"/>
                <w:b/>
                <w:color w:val="1F4E79" w:themeColor="accent1" w:themeShade="80"/>
                <w:sz w:val="24"/>
                <w:szCs w:val="24"/>
                <w:lang w:val="en-GB" w:eastAsia="en-GB"/>
              </w:rPr>
              <w:t>Terms and Conditions of Employment</w:t>
            </w:r>
          </w:p>
          <w:p w:rsidR="001E391C" w:rsidRPr="00067283" w:rsidRDefault="001E391C" w:rsidP="00067283">
            <w:pPr>
              <w:spacing w:after="0" w:line="240" w:lineRule="auto"/>
              <w:jc w:val="center"/>
              <w:rPr>
                <w:rFonts w:ascii="Calibri" w:hAnsi="Calibri" w:cs="Calibri"/>
                <w:b/>
              </w:rPr>
            </w:pPr>
          </w:p>
        </w:tc>
      </w:tr>
      <w:tr w:rsidR="00B808E4" w:rsidRPr="00CD7189" w:rsidTr="00F35A23">
        <w:trPr>
          <w:trHeight w:val="2548"/>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Working Week</w:t>
            </w:r>
          </w:p>
        </w:tc>
        <w:tc>
          <w:tcPr>
            <w:tcW w:w="8132" w:type="dxa"/>
          </w:tcPr>
          <w:p w:rsidR="001E391C" w:rsidRDefault="001E391C" w:rsidP="00E05937">
            <w:pPr>
              <w:jc w:val="both"/>
              <w:rPr>
                <w:rFonts w:ascii="Calibri" w:hAnsi="Calibri" w:cs="Calibri"/>
              </w:rPr>
            </w:pPr>
            <w:r>
              <w:rPr>
                <w:rFonts w:ascii="Calibri" w:hAnsi="Calibri" w:cs="Calibri"/>
              </w:rPr>
              <w:t>Working week for your relevant post will be detailed on the job description and contract for the post.</w:t>
            </w:r>
          </w:p>
          <w:p w:rsidR="00343BFC" w:rsidRPr="00CD7189" w:rsidRDefault="00B808E4" w:rsidP="00E05937">
            <w:pPr>
              <w:jc w:val="both"/>
              <w:rPr>
                <w:rFonts w:ascii="Calibri" w:hAnsi="Calibri" w:cs="Calibri"/>
              </w:rPr>
            </w:pPr>
            <w:r w:rsidRPr="00CD7189">
              <w:rPr>
                <w:rFonts w:ascii="Calibri" w:hAnsi="Calibri" w:cs="Calibri"/>
              </w:rPr>
              <w:t>HSE Circular 003-2009 “Matching Working Patterns to Servic</w:t>
            </w:r>
            <w:r w:rsidR="00067283">
              <w:rPr>
                <w:rFonts w:ascii="Calibri" w:hAnsi="Calibri" w:cs="Calibri"/>
              </w:rPr>
              <w:t>e Needs (Extended Working Day/</w:t>
            </w:r>
            <w:r w:rsidRPr="00CD7189">
              <w:rPr>
                <w:rFonts w:ascii="Calibri" w:hAnsi="Calibri" w:cs="Calibri"/>
              </w:rPr>
              <w:t>Week Arrangements); Framework for Implementation of Clause 30.4 of Towards 2016” applies. Under the terms of this circular, all new entrants and staff appointed to promotional posts from Dec 16</w:t>
            </w:r>
            <w:r w:rsidRPr="00E05937">
              <w:rPr>
                <w:rFonts w:ascii="Calibri" w:hAnsi="Calibri" w:cs="Calibri"/>
                <w:vertAlign w:val="superscript"/>
              </w:rPr>
              <w:t>th</w:t>
            </w:r>
            <w:r w:rsidR="00E05937">
              <w:rPr>
                <w:rFonts w:ascii="Calibri" w:hAnsi="Calibri" w:cs="Calibri"/>
              </w:rPr>
              <w:t xml:space="preserve"> </w:t>
            </w:r>
            <w:r w:rsidRPr="00CD7189">
              <w:rPr>
                <w:rFonts w:ascii="Calibri" w:hAnsi="Calibri" w:cs="Calibri"/>
              </w:rPr>
              <w:t>2008 will be r</w:t>
            </w:r>
            <w:r w:rsidR="00067283">
              <w:rPr>
                <w:rFonts w:ascii="Calibri" w:hAnsi="Calibri" w:cs="Calibri"/>
              </w:rPr>
              <w:t xml:space="preserve">equired to </w:t>
            </w:r>
            <w:bookmarkStart w:id="1" w:name="_GoBack"/>
            <w:bookmarkEnd w:id="1"/>
            <w:r w:rsidR="00067283">
              <w:rPr>
                <w:rFonts w:ascii="Calibri" w:hAnsi="Calibri" w:cs="Calibri"/>
              </w:rPr>
              <w:t>work agreed roster/</w:t>
            </w:r>
            <w:r w:rsidRPr="00CD7189">
              <w:rPr>
                <w:rFonts w:ascii="Calibri" w:hAnsi="Calibri" w:cs="Calibri"/>
              </w:rPr>
              <w:t>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tc>
      </w:tr>
      <w:tr w:rsidR="00B808E4" w:rsidRPr="00CD7189" w:rsidTr="00BE76F5">
        <w:trPr>
          <w:trHeight w:val="806"/>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Probation</w:t>
            </w:r>
          </w:p>
        </w:tc>
        <w:tc>
          <w:tcPr>
            <w:tcW w:w="8132" w:type="dxa"/>
          </w:tcPr>
          <w:p w:rsidR="00B808E4" w:rsidRPr="00CD7189" w:rsidRDefault="00B808E4" w:rsidP="00314247">
            <w:pPr>
              <w:spacing w:after="0"/>
              <w:jc w:val="both"/>
              <w:rPr>
                <w:rFonts w:ascii="Calibri" w:eastAsia="Times New Roman" w:hAnsi="Calibri" w:cs="Calibri"/>
                <w:lang w:val="en-GB" w:eastAsia="en-GB"/>
              </w:rPr>
            </w:pPr>
            <w:r w:rsidRPr="00CD7189">
              <w:rPr>
                <w:rFonts w:ascii="Calibri" w:eastAsia="Times New Roman" w:hAnsi="Calibri" w:cs="Calibri"/>
                <w:lang w:val="en-GB" w:eastAsia="en-GB"/>
              </w:rPr>
              <w:t>All employees will be subject to a probationary period as per the probation policy. This policy applies to all employees irrespective of the type of contract under which they have been employed. A period of 6 months’ probation will be served:</w:t>
            </w:r>
          </w:p>
          <w:p w:rsidR="00B808E4" w:rsidRPr="00CD7189" w:rsidRDefault="00B808E4" w:rsidP="00B808E4">
            <w:pPr>
              <w:numPr>
                <w:ilvl w:val="0"/>
                <w:numId w:val="7"/>
              </w:numPr>
              <w:spacing w:after="0"/>
              <w:jc w:val="both"/>
              <w:rPr>
                <w:rFonts w:ascii="Calibri" w:eastAsia="Times New Roman" w:hAnsi="Calibri" w:cs="Calibri"/>
                <w:lang w:val="en-GB" w:eastAsia="en-GB"/>
              </w:rPr>
            </w:pPr>
            <w:r w:rsidRPr="00CD7189">
              <w:rPr>
                <w:rFonts w:ascii="Calibri" w:eastAsia="Times New Roman" w:hAnsi="Calibri" w:cs="Calibri"/>
                <w:lang w:val="en-GB" w:eastAsia="en-GB"/>
              </w:rPr>
              <w:t>On commencement of employment</w:t>
            </w:r>
            <w:r w:rsidR="00067283">
              <w:rPr>
                <w:rFonts w:ascii="Calibri" w:eastAsia="Times New Roman" w:hAnsi="Calibri" w:cs="Calibri"/>
                <w:lang w:val="en-GB" w:eastAsia="en-GB"/>
              </w:rPr>
              <w:t>.</w:t>
            </w:r>
          </w:p>
          <w:p w:rsidR="00B808E4" w:rsidRPr="00CD7189" w:rsidRDefault="00B808E4" w:rsidP="00B808E4">
            <w:pPr>
              <w:numPr>
                <w:ilvl w:val="0"/>
                <w:numId w:val="7"/>
              </w:numPr>
              <w:spacing w:after="0"/>
              <w:jc w:val="both"/>
              <w:rPr>
                <w:rFonts w:ascii="Calibri" w:eastAsia="Times New Roman" w:hAnsi="Calibri" w:cs="Calibri"/>
                <w:lang w:val="en-GB" w:eastAsia="en-GB"/>
              </w:rPr>
            </w:pPr>
            <w:r w:rsidRPr="00CD7189">
              <w:rPr>
                <w:rFonts w:ascii="Calibri" w:eastAsia="Times New Roman" w:hAnsi="Calibri" w:cs="Calibri"/>
                <w:lang w:val="en-GB" w:eastAsia="en-GB"/>
              </w:rPr>
              <w:t>Fixed term to permanent contract</w:t>
            </w:r>
            <w:r w:rsidR="00067283">
              <w:rPr>
                <w:rFonts w:ascii="Calibri" w:eastAsia="Times New Roman" w:hAnsi="Calibri" w:cs="Calibri"/>
                <w:lang w:val="en-GB" w:eastAsia="en-GB"/>
              </w:rPr>
              <w:t>.</w:t>
            </w:r>
          </w:p>
          <w:p w:rsidR="00343BFC" w:rsidRPr="00067283" w:rsidRDefault="00B808E4" w:rsidP="00067283">
            <w:pPr>
              <w:numPr>
                <w:ilvl w:val="0"/>
                <w:numId w:val="7"/>
              </w:numPr>
              <w:spacing w:after="0"/>
              <w:jc w:val="both"/>
              <w:rPr>
                <w:rFonts w:ascii="Calibri" w:eastAsia="Times New Roman" w:hAnsi="Calibri" w:cs="Calibri"/>
                <w:lang w:val="en-GB" w:eastAsia="en-GB"/>
              </w:rPr>
            </w:pPr>
            <w:r w:rsidRPr="00CD7189">
              <w:rPr>
                <w:rFonts w:ascii="Calibri" w:eastAsia="Times New Roman" w:hAnsi="Calibri" w:cs="Calibri"/>
                <w:lang w:val="en-GB" w:eastAsia="en-GB"/>
              </w:rPr>
              <w:t>Permanent employees commencing in promotional posts will also undertake a probationary period relating to their new post.</w:t>
            </w:r>
          </w:p>
        </w:tc>
      </w:tr>
      <w:tr w:rsidR="00B808E4" w:rsidRPr="00CD7189" w:rsidTr="00BE76F5">
        <w:trPr>
          <w:trHeight w:val="806"/>
        </w:trPr>
        <w:tc>
          <w:tcPr>
            <w:tcW w:w="1696" w:type="dxa"/>
          </w:tcPr>
          <w:p w:rsidR="00B808E4" w:rsidRPr="00CD7189" w:rsidRDefault="00B808E4" w:rsidP="00BE76F5">
            <w:pPr>
              <w:spacing w:after="0" w:line="240" w:lineRule="auto"/>
              <w:rPr>
                <w:rFonts w:ascii="Calibri" w:eastAsia="Times New Roman" w:hAnsi="Calibri" w:cs="Calibri"/>
                <w:b/>
                <w:bCs/>
                <w:lang w:val="en-GB" w:eastAsia="en-GB"/>
              </w:rPr>
            </w:pPr>
            <w:r w:rsidRPr="001E391C">
              <w:rPr>
                <w:rFonts w:ascii="Calibri" w:eastAsia="Times New Roman" w:hAnsi="Calibri" w:cs="Calibri"/>
                <w:b/>
                <w:bCs/>
                <w:color w:val="1F4E79" w:themeColor="accent1" w:themeShade="80"/>
                <w:lang w:val="en-GB" w:eastAsia="en-GB"/>
              </w:rPr>
              <w:t>Pension</w:t>
            </w:r>
          </w:p>
        </w:tc>
        <w:tc>
          <w:tcPr>
            <w:tcW w:w="8132" w:type="dxa"/>
          </w:tcPr>
          <w:p w:rsidR="00B808E4" w:rsidRPr="00CD7189" w:rsidRDefault="00B808E4" w:rsidP="00314247">
            <w:pPr>
              <w:keepNext/>
              <w:tabs>
                <w:tab w:val="left" w:pos="-720"/>
                <w:tab w:val="left" w:pos="0"/>
                <w:tab w:val="left" w:pos="720"/>
              </w:tabs>
              <w:suppressAutoHyphens/>
              <w:spacing w:after="0"/>
              <w:jc w:val="both"/>
              <w:outlineLvl w:val="6"/>
              <w:rPr>
                <w:rFonts w:ascii="Calibri" w:eastAsia="Times New Roman" w:hAnsi="Calibri" w:cs="Calibri"/>
              </w:rPr>
            </w:pPr>
            <w:r w:rsidRPr="00CD7189">
              <w:rPr>
                <w:rFonts w:ascii="Calibri" w:eastAsia="Times New Roman" w:hAnsi="Calibri" w:cs="Calibri"/>
              </w:rPr>
              <w:t>Employees of Children’s Health Ireland are required to be members of the Hospi</w:t>
            </w:r>
            <w:r w:rsidR="00067283">
              <w:rPr>
                <w:rFonts w:ascii="Calibri" w:eastAsia="Times New Roman" w:hAnsi="Calibri" w:cs="Calibri"/>
              </w:rPr>
              <w:t>tals Superannuation Scheme.</w:t>
            </w:r>
            <w:r w:rsidRPr="00CD7189">
              <w:rPr>
                <w:rFonts w:ascii="Calibri" w:eastAsia="Times New Roman" w:hAnsi="Calibri" w:cs="Calibri"/>
              </w:rPr>
              <w:t xml:space="preserve"> Deductions at the appropriate rate will be</w:t>
            </w:r>
            <w:r w:rsidR="00067283">
              <w:rPr>
                <w:rFonts w:ascii="Calibri" w:eastAsia="Times New Roman" w:hAnsi="Calibri" w:cs="Calibri"/>
              </w:rPr>
              <w:t xml:space="preserve"> made from your salary payment.</w:t>
            </w:r>
          </w:p>
          <w:p w:rsidR="00FF044F" w:rsidRPr="00CD7189" w:rsidRDefault="00B808E4" w:rsidP="00314247">
            <w:pPr>
              <w:keepNext/>
              <w:tabs>
                <w:tab w:val="left" w:pos="-720"/>
                <w:tab w:val="left" w:pos="0"/>
                <w:tab w:val="left" w:pos="720"/>
              </w:tabs>
              <w:suppressAutoHyphens/>
              <w:spacing w:after="0"/>
              <w:jc w:val="both"/>
              <w:outlineLvl w:val="6"/>
              <w:rPr>
                <w:rFonts w:ascii="Calibri" w:eastAsia="Times New Roman" w:hAnsi="Calibri" w:cs="Calibri"/>
              </w:rPr>
            </w:pPr>
            <w:r w:rsidRPr="00CD7189">
              <w:rPr>
                <w:rFonts w:ascii="Calibri" w:eastAsia="Times New Roman" w:hAnsi="Calibri" w:cs="Calibri"/>
              </w:rPr>
              <w:t>If you are being rehired after drawing down a public service pension your attention is drawn to Section 52 of the Public Services Pension (Single and Other Provisions) Act 2012. The 2012 Act extends the principle of abatement to retired public servants in receipt of a public service pension who secure another public service appointment in any public service body.</w:t>
            </w:r>
          </w:p>
        </w:tc>
      </w:tr>
      <w:tr w:rsidR="00B808E4" w:rsidRPr="00CD7189" w:rsidTr="00BE76F5">
        <w:trPr>
          <w:trHeight w:val="806"/>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Age</w:t>
            </w:r>
          </w:p>
        </w:tc>
        <w:tc>
          <w:tcPr>
            <w:tcW w:w="8132" w:type="dxa"/>
          </w:tcPr>
          <w:p w:rsidR="00343BFC" w:rsidRPr="00CD7189" w:rsidRDefault="00B808E4" w:rsidP="00314247">
            <w:pPr>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Age restrictions shall only apply to a candidate where he/she is not classified as a new entrant (within the meaning of the Public Serv</w:t>
            </w:r>
            <w:r w:rsidR="00916B05">
              <w:rPr>
                <w:rFonts w:ascii="Calibri" w:eastAsia="Times New Roman" w:hAnsi="Calibri" w:cs="Calibri"/>
                <w:lang w:val="en-GB" w:eastAsia="en-GB"/>
              </w:rPr>
              <w:t xml:space="preserve">ice Superannuation Act, 2004). </w:t>
            </w:r>
            <w:r w:rsidRPr="00CD7189">
              <w:rPr>
                <w:rFonts w:ascii="Calibri" w:eastAsia="Times New Roman" w:hAnsi="Calibri" w:cs="Calibri"/>
                <w:lang w:val="en-GB" w:eastAsia="en-GB"/>
              </w:rPr>
              <w:t>A candidate who is not classified as a new entrant</w:t>
            </w:r>
            <w:r w:rsidR="00067283">
              <w:rPr>
                <w:rFonts w:ascii="Calibri" w:eastAsia="Times New Roman" w:hAnsi="Calibri" w:cs="Calibri"/>
                <w:lang w:val="en-GB" w:eastAsia="en-GB"/>
              </w:rPr>
              <w:t xml:space="preserve"> must be under 65 years of age.</w:t>
            </w:r>
          </w:p>
        </w:tc>
      </w:tr>
      <w:tr w:rsidR="00B808E4" w:rsidRPr="00CD7189" w:rsidTr="00067283">
        <w:trPr>
          <w:trHeight w:val="537"/>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Maternity Leave</w:t>
            </w:r>
          </w:p>
        </w:tc>
        <w:tc>
          <w:tcPr>
            <w:tcW w:w="8132" w:type="dxa"/>
          </w:tcPr>
          <w:p w:rsidR="00343BFC" w:rsidRPr="00CD7189" w:rsidRDefault="00B808E4" w:rsidP="00314247">
            <w:pPr>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 xml:space="preserve">Maternity leave is granted in accordance with the terms of the Maternity </w:t>
            </w:r>
            <w:r w:rsidR="00343BFC" w:rsidRPr="00CD7189">
              <w:rPr>
                <w:rFonts w:ascii="Calibri" w:eastAsia="Times New Roman" w:hAnsi="Calibri" w:cs="Calibri"/>
                <w:lang w:val="en-GB" w:eastAsia="en-GB"/>
              </w:rPr>
              <w:t>Protection Acts 1994 and 2001.</w:t>
            </w:r>
          </w:p>
        </w:tc>
      </w:tr>
      <w:tr w:rsidR="00B808E4" w:rsidRPr="00CD7189" w:rsidTr="00067283">
        <w:trPr>
          <w:trHeight w:val="577"/>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Payment of sick leave</w:t>
            </w:r>
          </w:p>
        </w:tc>
        <w:tc>
          <w:tcPr>
            <w:tcW w:w="8132" w:type="dxa"/>
          </w:tcPr>
          <w:p w:rsidR="00343BFC" w:rsidRPr="00CD7189" w:rsidRDefault="00B808E4" w:rsidP="00314247">
            <w:pPr>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Children’s Health Ireland operates a Sickness Absence Management policy in line with the new Public Service Sick Leave Scheme as introduced in 31</w:t>
            </w:r>
            <w:r w:rsidRPr="00CD7189">
              <w:rPr>
                <w:rFonts w:ascii="Calibri" w:eastAsia="Times New Roman" w:hAnsi="Calibri" w:cs="Calibri"/>
                <w:vertAlign w:val="superscript"/>
                <w:lang w:val="en-GB" w:eastAsia="en-GB"/>
              </w:rPr>
              <w:t>st</w:t>
            </w:r>
            <w:r w:rsidR="00067283">
              <w:rPr>
                <w:rFonts w:ascii="Calibri" w:eastAsia="Times New Roman" w:hAnsi="Calibri" w:cs="Calibri"/>
                <w:lang w:val="en-GB" w:eastAsia="en-GB"/>
              </w:rPr>
              <w:t xml:space="preserve"> March 2014.</w:t>
            </w:r>
          </w:p>
        </w:tc>
      </w:tr>
      <w:tr w:rsidR="00B808E4" w:rsidRPr="00CD7189" w:rsidTr="00BE76F5">
        <w:trPr>
          <w:trHeight w:val="806"/>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Pre-Employment Health Assessment</w:t>
            </w:r>
          </w:p>
        </w:tc>
        <w:tc>
          <w:tcPr>
            <w:tcW w:w="8132" w:type="dxa"/>
          </w:tcPr>
          <w:p w:rsidR="00343BFC" w:rsidRPr="00CD7189" w:rsidRDefault="00B808E4" w:rsidP="00314247">
            <w:pPr>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Prior to commencing in this role a person will be required to complete a form declaring their health status which is reviewed by the hospital’s Occupational Health Service and if required</w:t>
            </w:r>
            <w:r w:rsidR="001E391C">
              <w:rPr>
                <w:rFonts w:ascii="Calibri" w:eastAsia="Times New Roman" w:hAnsi="Calibri" w:cs="Calibri"/>
                <w:lang w:val="en-GB" w:eastAsia="en-GB"/>
              </w:rPr>
              <w:t>,</w:t>
            </w:r>
            <w:r w:rsidRPr="00CD7189">
              <w:rPr>
                <w:rFonts w:ascii="Calibri" w:eastAsia="Times New Roman" w:hAnsi="Calibri" w:cs="Calibri"/>
                <w:lang w:val="en-GB" w:eastAsia="en-GB"/>
              </w:rPr>
              <w:t xml:space="preserve"> undergo a medical assessment with this department. Any person employed by Children’s Health Ireland must be fully competent and capable of undertaking the duties attached to the office and be in a state of health such as would indicate a reasonable prospect of ability to render</w:t>
            </w:r>
            <w:r w:rsidR="00067283">
              <w:rPr>
                <w:rFonts w:ascii="Calibri" w:eastAsia="Times New Roman" w:hAnsi="Calibri" w:cs="Calibri"/>
                <w:lang w:val="en-GB" w:eastAsia="en-GB"/>
              </w:rPr>
              <w:t xml:space="preserve"> regular and efficient service.</w:t>
            </w:r>
          </w:p>
        </w:tc>
      </w:tr>
      <w:tr w:rsidR="00B808E4" w:rsidRPr="00CD7189" w:rsidTr="00BE76F5">
        <w:trPr>
          <w:trHeight w:val="537"/>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color w:val="1F4E79" w:themeColor="accent1" w:themeShade="80"/>
                <w:bdr w:val="none" w:sz="0" w:space="0" w:color="auto" w:frame="1"/>
                <w:lang w:val="en-GB" w:eastAsia="en-GB"/>
              </w:rPr>
              <w:t>Validation of Qualifications &amp; Experience</w:t>
            </w:r>
          </w:p>
        </w:tc>
        <w:tc>
          <w:tcPr>
            <w:tcW w:w="8132" w:type="dxa"/>
          </w:tcPr>
          <w:p w:rsidR="00343BFC" w:rsidRPr="00CD7189" w:rsidRDefault="00B808E4" w:rsidP="00314247">
            <w:pPr>
              <w:shd w:val="clear" w:color="auto" w:fill="FFFFFF"/>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Any credit given to a candidate at interview, in respect of claims to qualifications, training and experience is provisional and is subject to verification. The recommendation of the interview board is liable to revision if the claimed qualification, training or experience is not proven.</w:t>
            </w:r>
          </w:p>
        </w:tc>
      </w:tr>
      <w:tr w:rsidR="00B808E4" w:rsidRPr="00CD7189" w:rsidTr="00BE76F5">
        <w:trPr>
          <w:trHeight w:val="806"/>
        </w:trPr>
        <w:tc>
          <w:tcPr>
            <w:tcW w:w="1696" w:type="dxa"/>
          </w:tcPr>
          <w:p w:rsidR="00B808E4" w:rsidRPr="001E391C" w:rsidRDefault="00B808E4"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lastRenderedPageBreak/>
              <w:t>References</w:t>
            </w:r>
          </w:p>
        </w:tc>
        <w:tc>
          <w:tcPr>
            <w:tcW w:w="8132" w:type="dxa"/>
          </w:tcPr>
          <w:p w:rsidR="00343BFC" w:rsidRPr="00CD7189" w:rsidRDefault="00B808E4" w:rsidP="00314247">
            <w:pPr>
              <w:shd w:val="clear" w:color="auto" w:fill="FFFFFF"/>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Children’s Health Ireland will seek up to three written references from current and previous employers, educational institutions or any other organisations with which the candidate has been associated. The hospital</w:t>
            </w:r>
            <w:r w:rsidR="001E391C">
              <w:rPr>
                <w:rFonts w:ascii="Calibri" w:eastAsia="Times New Roman" w:hAnsi="Calibri" w:cs="Calibri"/>
                <w:lang w:val="en-GB" w:eastAsia="en-GB"/>
              </w:rPr>
              <w:t xml:space="preserve"> </w:t>
            </w:r>
            <w:r w:rsidRPr="00CD7189">
              <w:rPr>
                <w:rFonts w:ascii="Calibri" w:eastAsia="Times New Roman" w:hAnsi="Calibri" w:cs="Calibri"/>
                <w:lang w:val="en-GB" w:eastAsia="en-GB"/>
              </w:rPr>
              <w:t>also reserves the right to determine the merit, appropriateness and relevance o</w:t>
            </w:r>
            <w:r w:rsidR="00067283">
              <w:rPr>
                <w:rFonts w:ascii="Calibri" w:eastAsia="Times New Roman" w:hAnsi="Calibri" w:cs="Calibri"/>
                <w:lang w:val="en-GB" w:eastAsia="en-GB"/>
              </w:rPr>
              <w:t>f such references and referees.</w:t>
            </w:r>
          </w:p>
        </w:tc>
      </w:tr>
      <w:tr w:rsidR="00B808E4" w:rsidRPr="00CD7189" w:rsidTr="00BE76F5">
        <w:trPr>
          <w:trHeight w:val="806"/>
        </w:trPr>
        <w:tc>
          <w:tcPr>
            <w:tcW w:w="1696" w:type="dxa"/>
          </w:tcPr>
          <w:p w:rsidR="00B808E4" w:rsidRPr="001E391C" w:rsidRDefault="00067283" w:rsidP="00BE76F5">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Garda Vetting</w:t>
            </w:r>
          </w:p>
        </w:tc>
        <w:tc>
          <w:tcPr>
            <w:tcW w:w="8132" w:type="dxa"/>
          </w:tcPr>
          <w:p w:rsidR="00343BFC" w:rsidRPr="00CD7189" w:rsidRDefault="00B808E4" w:rsidP="00314247">
            <w:pPr>
              <w:spacing w:after="0" w:line="240" w:lineRule="auto"/>
              <w:jc w:val="both"/>
              <w:rPr>
                <w:rFonts w:ascii="Calibri" w:eastAsia="Times New Roman" w:hAnsi="Calibri" w:cs="Calibri"/>
                <w:lang w:val="en-GB" w:eastAsia="en-GB"/>
              </w:rPr>
            </w:pPr>
            <w:r w:rsidRPr="00CD7189">
              <w:rPr>
                <w:rFonts w:ascii="Calibri" w:eastAsia="Times New Roman" w:hAnsi="Calibri" w:cs="Calibri"/>
                <w:lang w:val="en-GB" w:eastAsia="en-GB"/>
              </w:rPr>
              <w:t>Children’s Health Ireland will carry out Garda vetting on all new employees. An employee will not take up employment with the hospital until the Garda Vetting process has been completed and the hospital is satisfied that such an appointment does not pose a risk to client</w:t>
            </w:r>
            <w:r w:rsidR="00067283">
              <w:rPr>
                <w:rFonts w:ascii="Calibri" w:eastAsia="Times New Roman" w:hAnsi="Calibri" w:cs="Calibri"/>
                <w:lang w:val="en-GB" w:eastAsia="en-GB"/>
              </w:rPr>
              <w:t>s, service users and employees.</w:t>
            </w:r>
          </w:p>
        </w:tc>
      </w:tr>
      <w:tr w:rsidR="00A14794" w:rsidRPr="00A14794" w:rsidTr="00A14794">
        <w:trPr>
          <w:trHeight w:val="1043"/>
        </w:trPr>
        <w:tc>
          <w:tcPr>
            <w:tcW w:w="1696" w:type="dxa"/>
          </w:tcPr>
          <w:p w:rsidR="00A14794" w:rsidRPr="001E391C" w:rsidRDefault="00A14794" w:rsidP="00C655A3">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Panel</w:t>
            </w:r>
          </w:p>
        </w:tc>
        <w:tc>
          <w:tcPr>
            <w:tcW w:w="8132" w:type="dxa"/>
          </w:tcPr>
          <w:p w:rsidR="00A14794" w:rsidRPr="00A14794" w:rsidRDefault="00A14794" w:rsidP="00C655A3">
            <w:pPr>
              <w:jc w:val="both"/>
              <w:rPr>
                <w:rFonts w:ascii="Calibri" w:hAnsi="Calibri" w:cs="Calibri"/>
              </w:rPr>
            </w:pPr>
            <w:r w:rsidRPr="00A14794">
              <w:rPr>
                <w:rFonts w:ascii="Calibri" w:hAnsi="Calibri" w:cs="Calibri"/>
                <w:position w:val="6"/>
              </w:rPr>
              <w:t>A panel may be created from which permanent, fixed term and specified purpose vacancies of a full or part time duration</w:t>
            </w:r>
            <w:r w:rsidR="001E391C">
              <w:rPr>
                <w:rFonts w:ascii="Calibri" w:hAnsi="Calibri" w:cs="Calibri"/>
                <w:position w:val="6"/>
              </w:rPr>
              <w:t>,</w:t>
            </w:r>
            <w:r w:rsidRPr="00A14794">
              <w:rPr>
                <w:rFonts w:ascii="Calibri" w:hAnsi="Calibri" w:cs="Calibri"/>
                <w:position w:val="6"/>
              </w:rPr>
              <w:t xml:space="preserve"> may be filled across the five Children’s Health Ireland locations. The tenure of these panels will be indicated at offer stage.</w:t>
            </w:r>
          </w:p>
        </w:tc>
      </w:tr>
      <w:tr w:rsidR="00A14794" w:rsidRPr="00CD7189" w:rsidTr="00A14794">
        <w:trPr>
          <w:trHeight w:val="1611"/>
        </w:trPr>
        <w:tc>
          <w:tcPr>
            <w:tcW w:w="1696" w:type="dxa"/>
          </w:tcPr>
          <w:p w:rsidR="00A14794" w:rsidRPr="00CD7189" w:rsidRDefault="00A14794" w:rsidP="00C655A3">
            <w:pPr>
              <w:spacing w:after="0" w:line="240" w:lineRule="auto"/>
              <w:rPr>
                <w:rFonts w:ascii="Calibri" w:eastAsia="Times New Roman" w:hAnsi="Calibri" w:cs="Calibri"/>
                <w:b/>
                <w:bCs/>
                <w:lang w:val="en-GB" w:eastAsia="en-GB"/>
              </w:rPr>
            </w:pPr>
            <w:r w:rsidRPr="001E391C">
              <w:rPr>
                <w:rFonts w:ascii="Calibri" w:eastAsia="Times New Roman" w:hAnsi="Calibri" w:cs="Calibri"/>
                <w:b/>
                <w:bCs/>
                <w:color w:val="1F4E79" w:themeColor="accent1" w:themeShade="80"/>
                <w:lang w:val="en-GB" w:eastAsia="en-GB"/>
              </w:rPr>
              <w:t>Internal Applications</w:t>
            </w:r>
          </w:p>
        </w:tc>
        <w:tc>
          <w:tcPr>
            <w:tcW w:w="8132" w:type="dxa"/>
          </w:tcPr>
          <w:p w:rsidR="00A14794" w:rsidRPr="00CD7189" w:rsidRDefault="00A14794" w:rsidP="00C655A3">
            <w:pPr>
              <w:jc w:val="both"/>
              <w:rPr>
                <w:rFonts w:ascii="Calibri" w:hAnsi="Calibri" w:cs="Calibri"/>
              </w:rPr>
            </w:pPr>
            <w:r w:rsidRPr="00CD7189">
              <w:rPr>
                <w:rFonts w:ascii="Calibri" w:eastAsia="Times New Roman" w:hAnsi="Calibri" w:cs="Calibri"/>
                <w:iCs/>
                <w:lang w:eastAsia="en-GB"/>
              </w:rPr>
              <w:t xml:space="preserve">Children’s Health Ireland employees, who hold a permanent contract, are eligible to apply for fixed term and specified purpose competitions across the five Children’s Health Ireland sites. Employees who take up specified purpose or fixed term posts will retain their permanent substantive grade. </w:t>
            </w:r>
            <w:r w:rsidRPr="0010624B">
              <w:rPr>
                <w:rFonts w:ascii="Calibri" w:eastAsia="Times New Roman" w:hAnsi="Calibri" w:cs="Calibri"/>
                <w:iCs/>
                <w:lang w:eastAsia="en-GB"/>
              </w:rPr>
              <w:t>In order to apply you must have successfully completed your probation period, in your current post.</w:t>
            </w:r>
          </w:p>
        </w:tc>
      </w:tr>
      <w:tr w:rsidR="00B808E4" w:rsidRPr="00CD7189" w:rsidTr="00BE76F5">
        <w:trPr>
          <w:trHeight w:val="806"/>
        </w:trPr>
        <w:tc>
          <w:tcPr>
            <w:tcW w:w="1696" w:type="dxa"/>
          </w:tcPr>
          <w:p w:rsidR="00B808E4" w:rsidRPr="001E391C" w:rsidRDefault="00B808E4" w:rsidP="000F2038">
            <w:pPr>
              <w:spacing w:after="0" w:line="240" w:lineRule="auto"/>
              <w:rPr>
                <w:rFonts w:ascii="Calibri" w:eastAsia="Times New Roman" w:hAnsi="Calibri" w:cs="Calibri"/>
                <w:b/>
                <w:bCs/>
                <w:color w:val="1F4E79" w:themeColor="accent1" w:themeShade="80"/>
                <w:lang w:val="en-GB" w:eastAsia="en-GB"/>
              </w:rPr>
            </w:pPr>
            <w:r w:rsidRPr="001E391C">
              <w:rPr>
                <w:rFonts w:ascii="Calibri" w:eastAsia="Times New Roman" w:hAnsi="Calibri" w:cs="Calibri"/>
                <w:b/>
                <w:bCs/>
                <w:color w:val="1F4E79" w:themeColor="accent1" w:themeShade="80"/>
                <w:lang w:val="en-GB" w:eastAsia="en-GB"/>
              </w:rPr>
              <w:t>Ethics in Public Office 1995 and 2001</w:t>
            </w:r>
          </w:p>
          <w:p w:rsidR="000F2038" w:rsidRPr="001E391C" w:rsidRDefault="000F2038" w:rsidP="00BE76F5">
            <w:pPr>
              <w:spacing w:line="240" w:lineRule="auto"/>
              <w:rPr>
                <w:rFonts w:ascii="Calibri" w:hAnsi="Calibri" w:cs="Calibri"/>
                <w:b/>
                <w:bCs/>
                <w:color w:val="1F4E79" w:themeColor="accent1" w:themeShade="80"/>
              </w:rPr>
            </w:pPr>
          </w:p>
          <w:p w:rsidR="00B808E4" w:rsidRPr="00067283" w:rsidRDefault="00B808E4" w:rsidP="00916B05">
            <w:pPr>
              <w:rPr>
                <w:rFonts w:ascii="Calibri" w:hAnsi="Calibri" w:cs="Calibri"/>
                <w:b/>
                <w:bCs/>
              </w:rPr>
            </w:pPr>
            <w:r w:rsidRPr="001E391C">
              <w:rPr>
                <w:rFonts w:ascii="Calibri" w:hAnsi="Calibri" w:cs="Calibri"/>
                <w:b/>
                <w:color w:val="1F4E79" w:themeColor="accent1" w:themeShade="80"/>
              </w:rPr>
              <w:t>Positions remunerated at or above the minimum point of the Grade VIII salary</w:t>
            </w:r>
            <w:r w:rsidR="000F2038" w:rsidRPr="001E391C">
              <w:rPr>
                <w:rFonts w:ascii="Calibri" w:hAnsi="Calibri" w:cs="Calibri"/>
                <w:b/>
                <w:bCs/>
                <w:color w:val="1F4E79" w:themeColor="accent1" w:themeShade="80"/>
              </w:rPr>
              <w:t xml:space="preserve"> scale </w:t>
            </w:r>
            <w:r w:rsidR="00640E52" w:rsidRPr="001E391C">
              <w:rPr>
                <w:rFonts w:ascii="Calibri" w:hAnsi="Calibri" w:cs="Calibri"/>
                <w:b/>
                <w:bCs/>
                <w:color w:val="1F4E79" w:themeColor="accent1" w:themeShade="80"/>
              </w:rPr>
              <w:t>(€</w:t>
            </w:r>
            <w:r w:rsidR="00916B05" w:rsidRPr="001E391C">
              <w:rPr>
                <w:rFonts w:ascii="Calibri" w:hAnsi="Calibri" w:cs="Calibri"/>
                <w:b/>
                <w:bCs/>
                <w:color w:val="1F4E79" w:themeColor="accent1" w:themeShade="80"/>
              </w:rPr>
              <w:t>71,077</w:t>
            </w:r>
            <w:r w:rsidRPr="001E391C">
              <w:rPr>
                <w:rFonts w:ascii="Calibri" w:hAnsi="Calibri" w:cs="Calibri"/>
                <w:b/>
                <w:bCs/>
                <w:color w:val="1F4E79" w:themeColor="accent1" w:themeShade="80"/>
              </w:rPr>
              <w:t xml:space="preserve"> as of 01.</w:t>
            </w:r>
            <w:r w:rsidR="00916B05" w:rsidRPr="001E391C">
              <w:rPr>
                <w:rFonts w:ascii="Calibri" w:hAnsi="Calibri" w:cs="Calibri"/>
                <w:b/>
                <w:bCs/>
                <w:color w:val="1F4E79" w:themeColor="accent1" w:themeShade="80"/>
              </w:rPr>
              <w:t>02</w:t>
            </w:r>
            <w:r w:rsidR="00591D97" w:rsidRPr="001E391C">
              <w:rPr>
                <w:rFonts w:ascii="Calibri" w:hAnsi="Calibri" w:cs="Calibri"/>
                <w:b/>
                <w:bCs/>
                <w:color w:val="1F4E79" w:themeColor="accent1" w:themeShade="80"/>
              </w:rPr>
              <w:t>.202</w:t>
            </w:r>
            <w:r w:rsidR="00916B05" w:rsidRPr="001E391C">
              <w:rPr>
                <w:rFonts w:ascii="Calibri" w:hAnsi="Calibri" w:cs="Calibri"/>
                <w:b/>
                <w:bCs/>
                <w:color w:val="1F4E79" w:themeColor="accent1" w:themeShade="80"/>
              </w:rPr>
              <w:t>2</w:t>
            </w:r>
            <w:r w:rsidRPr="001E391C">
              <w:rPr>
                <w:rFonts w:ascii="Calibri" w:hAnsi="Calibri" w:cs="Calibri"/>
                <w:b/>
                <w:bCs/>
                <w:color w:val="1F4E79" w:themeColor="accent1" w:themeShade="80"/>
              </w:rPr>
              <w:t>)</w:t>
            </w:r>
          </w:p>
        </w:tc>
        <w:tc>
          <w:tcPr>
            <w:tcW w:w="8132" w:type="dxa"/>
          </w:tcPr>
          <w:p w:rsidR="00B808E4" w:rsidRPr="00CD7189" w:rsidRDefault="00B808E4" w:rsidP="00314247">
            <w:pPr>
              <w:jc w:val="both"/>
              <w:rPr>
                <w:rFonts w:ascii="Calibri" w:hAnsi="Calibri" w:cs="Calibri"/>
              </w:rPr>
            </w:pPr>
            <w:r w:rsidRPr="00CD7189">
              <w:rPr>
                <w:rFonts w:ascii="Calibri" w:hAnsi="Calibri" w:cs="Calibri"/>
              </w:rPr>
              <w:t xml:space="preserve">Positions remunerated at or above the minimum point of the Grade VIII </w:t>
            </w:r>
            <w:r w:rsidR="00640E52" w:rsidRPr="00CD7189">
              <w:rPr>
                <w:rFonts w:ascii="Calibri" w:hAnsi="Calibri" w:cs="Calibri"/>
              </w:rPr>
              <w:t>salary scale (€</w:t>
            </w:r>
            <w:r w:rsidR="00916B05">
              <w:rPr>
                <w:rFonts w:ascii="Calibri" w:hAnsi="Calibri" w:cs="Calibri"/>
              </w:rPr>
              <w:t>71,077</w:t>
            </w:r>
            <w:r w:rsidR="00E85444" w:rsidRPr="00CD7189">
              <w:rPr>
                <w:rFonts w:ascii="Calibri" w:hAnsi="Calibri" w:cs="Calibri"/>
              </w:rPr>
              <w:t xml:space="preserve"> as at 01.</w:t>
            </w:r>
            <w:r w:rsidR="00916B05">
              <w:rPr>
                <w:rFonts w:ascii="Calibri" w:hAnsi="Calibri" w:cs="Calibri"/>
              </w:rPr>
              <w:t>02</w:t>
            </w:r>
            <w:r w:rsidR="00640E52" w:rsidRPr="00CD7189">
              <w:rPr>
                <w:rFonts w:ascii="Calibri" w:hAnsi="Calibri" w:cs="Calibri"/>
              </w:rPr>
              <w:t>.202</w:t>
            </w:r>
            <w:r w:rsidR="00916B05">
              <w:rPr>
                <w:rFonts w:ascii="Calibri" w:hAnsi="Calibri" w:cs="Calibri"/>
              </w:rPr>
              <w:t>2</w:t>
            </w:r>
            <w:r w:rsidRPr="00CD7189">
              <w:rPr>
                <w:rFonts w:ascii="Calibri" w:hAnsi="Calibri" w:cs="Calibri"/>
              </w:rPr>
              <w:t>) are designated positions under Section 18 of the Eth</w:t>
            </w:r>
            <w:r w:rsidR="00916B05">
              <w:rPr>
                <w:rFonts w:ascii="Calibri" w:hAnsi="Calibri" w:cs="Calibri"/>
              </w:rPr>
              <w:t xml:space="preserve">ics in Public Office Act 1995. </w:t>
            </w:r>
            <w:r w:rsidRPr="00CD7189">
              <w:rPr>
                <w:rFonts w:ascii="Calibri" w:hAnsi="Calibri" w:cs="Calibri"/>
              </w:rPr>
              <w:t>Any person appointed to a designated position must comply with the requirements of the Ethics in Public Office Acts 1995 and 2001 as outlined below;</w:t>
            </w:r>
          </w:p>
          <w:p w:rsidR="00B808E4" w:rsidRPr="00CD7189" w:rsidRDefault="00B808E4" w:rsidP="00314247">
            <w:pPr>
              <w:spacing w:line="240" w:lineRule="auto"/>
              <w:jc w:val="both"/>
              <w:rPr>
                <w:rFonts w:ascii="Calibri" w:hAnsi="Calibri" w:cs="Calibri"/>
              </w:rPr>
            </w:pPr>
            <w:r w:rsidRPr="00CD7189">
              <w:rPr>
                <w:rFonts w:ascii="Calibri" w:hAnsi="Calibri" w:cs="Calibri"/>
              </w:rPr>
              <w:t>A) In accordance with Section 18 of the Ethics in Public Office Act 1995, a person holding such a post is required to prepare and furnish an annual statement of any interests which could material</w:t>
            </w:r>
            <w:r w:rsidR="004E536D" w:rsidRPr="00CD7189">
              <w:rPr>
                <w:rFonts w:ascii="Calibri" w:hAnsi="Calibri" w:cs="Calibri"/>
              </w:rPr>
              <w:t xml:space="preserve">ly influence the performance of </w:t>
            </w:r>
            <w:r w:rsidRPr="00CD7189">
              <w:rPr>
                <w:rFonts w:ascii="Calibri" w:hAnsi="Calibri" w:cs="Calibri"/>
              </w:rPr>
              <w:t>the official functions of the post.  This annual statement of interest should be submitted to the Chief Executive Officer not later than 31</w:t>
            </w:r>
            <w:r w:rsidRPr="00CD7189">
              <w:rPr>
                <w:rFonts w:ascii="Calibri" w:hAnsi="Calibri" w:cs="Calibri"/>
                <w:vertAlign w:val="superscript"/>
              </w:rPr>
              <w:t>st</w:t>
            </w:r>
            <w:r w:rsidRPr="00CD7189">
              <w:rPr>
                <w:rFonts w:ascii="Calibri" w:hAnsi="Calibri" w:cs="Calibri"/>
              </w:rPr>
              <w:t xml:space="preserve"> January in the following year.</w:t>
            </w:r>
          </w:p>
          <w:p w:rsidR="00B808E4" w:rsidRPr="00CD7189" w:rsidRDefault="00B808E4" w:rsidP="00314247">
            <w:pPr>
              <w:pStyle w:val="BodyText"/>
              <w:jc w:val="both"/>
              <w:rPr>
                <w:rFonts w:ascii="Calibri" w:hAnsi="Calibri" w:cs="Calibri"/>
                <w:sz w:val="22"/>
                <w:szCs w:val="22"/>
              </w:rPr>
            </w:pPr>
            <w:r w:rsidRPr="00CD7189">
              <w:rPr>
                <w:rFonts w:ascii="Calibri" w:hAnsi="Calibri" w:cs="Calibri"/>
                <w:sz w:val="22"/>
                <w:szCs w:val="22"/>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w:t>
            </w:r>
            <w:r w:rsidR="00067283">
              <w:rPr>
                <w:rFonts w:ascii="Calibri" w:hAnsi="Calibri" w:cs="Calibri"/>
                <w:sz w:val="22"/>
                <w:szCs w:val="22"/>
              </w:rPr>
              <w:t xml:space="preserve">of the facts of that interest. </w:t>
            </w:r>
            <w:r w:rsidRPr="00CD7189">
              <w:rPr>
                <w:rFonts w:ascii="Calibri" w:hAnsi="Calibri" w:cs="Calibri"/>
                <w:sz w:val="22"/>
                <w:szCs w:val="22"/>
              </w:rPr>
              <w:t>A person holding such a post should provide such statement t</w:t>
            </w:r>
            <w:r w:rsidR="00067283">
              <w:rPr>
                <w:rFonts w:ascii="Calibri" w:hAnsi="Calibri" w:cs="Calibri"/>
                <w:sz w:val="22"/>
                <w:szCs w:val="22"/>
              </w:rPr>
              <w:t xml:space="preserve">o the Chief Executive Officer. </w:t>
            </w:r>
            <w:r w:rsidRPr="00CD7189">
              <w:rPr>
                <w:rFonts w:ascii="Calibri" w:hAnsi="Calibri" w:cs="Calibri"/>
                <w:sz w:val="22"/>
                <w:szCs w:val="22"/>
              </w:rPr>
              <w:t xml:space="preserve">The function in question cannot be performed unless there are compelling reasons to do so and, if this is the case, those compelling reasons must be stated in writing and must be provided </w:t>
            </w:r>
            <w:r w:rsidR="00067283">
              <w:rPr>
                <w:rFonts w:ascii="Calibri" w:hAnsi="Calibri" w:cs="Calibri"/>
                <w:sz w:val="22"/>
                <w:szCs w:val="22"/>
              </w:rPr>
              <w:t>to the Chief Executive Officer.</w:t>
            </w:r>
          </w:p>
          <w:p w:rsidR="00B808E4" w:rsidRPr="00067283" w:rsidRDefault="00B808E4" w:rsidP="00314247">
            <w:pPr>
              <w:pStyle w:val="BodyText"/>
              <w:jc w:val="both"/>
              <w:rPr>
                <w:rFonts w:ascii="Calibri" w:hAnsi="Calibri" w:cs="Calibri"/>
                <w:sz w:val="12"/>
                <w:szCs w:val="12"/>
              </w:rPr>
            </w:pPr>
          </w:p>
          <w:p w:rsidR="00343BFC" w:rsidRPr="00CD7189" w:rsidRDefault="00B808E4" w:rsidP="00314247">
            <w:pPr>
              <w:spacing w:after="0" w:line="240" w:lineRule="auto"/>
              <w:jc w:val="both"/>
              <w:rPr>
                <w:rFonts w:ascii="Calibri" w:hAnsi="Calibri" w:cs="Calibri"/>
                <w:u w:val="single"/>
              </w:rPr>
            </w:pPr>
            <w:r w:rsidRPr="00CD7189">
              <w:rPr>
                <w:rFonts w:ascii="Calibri" w:hAnsi="Calibri" w:cs="Calibri"/>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8" w:history="1">
              <w:r w:rsidRPr="00067283">
                <w:rPr>
                  <w:rStyle w:val="Hyperlink"/>
                  <w:rFonts w:ascii="Calibri" w:hAnsi="Calibri" w:cs="Calibri"/>
                  <w:b/>
                  <w:color w:val="0070C0"/>
                </w:rPr>
                <w:t>http://www.sipo.gov.ie/</w:t>
              </w:r>
            </w:hyperlink>
          </w:p>
        </w:tc>
      </w:tr>
      <w:tr w:rsidR="00853A1F" w:rsidRPr="00CD7189" w:rsidTr="00BE76F5">
        <w:trPr>
          <w:trHeight w:val="806"/>
        </w:trPr>
        <w:tc>
          <w:tcPr>
            <w:tcW w:w="1696" w:type="dxa"/>
          </w:tcPr>
          <w:p w:rsidR="00853A1F" w:rsidRPr="00CD7189" w:rsidRDefault="00853A1F" w:rsidP="000F2038">
            <w:pPr>
              <w:spacing w:after="0" w:line="240" w:lineRule="auto"/>
              <w:rPr>
                <w:rFonts w:ascii="Calibri" w:eastAsia="Times New Roman" w:hAnsi="Calibri" w:cs="Calibri"/>
                <w:b/>
                <w:bCs/>
                <w:lang w:val="en-GB" w:eastAsia="en-GB"/>
              </w:rPr>
            </w:pPr>
            <w:r w:rsidRPr="001E391C">
              <w:rPr>
                <w:rFonts w:ascii="Calibri" w:eastAsia="Times New Roman" w:hAnsi="Calibri" w:cs="Calibri"/>
                <w:b/>
                <w:bCs/>
                <w:color w:val="1F4E79" w:themeColor="accent1" w:themeShade="80"/>
                <w:lang w:val="en-GB" w:eastAsia="en-GB"/>
              </w:rPr>
              <w:t>Notice Period</w:t>
            </w:r>
          </w:p>
        </w:tc>
        <w:tc>
          <w:tcPr>
            <w:tcW w:w="8132" w:type="dxa"/>
          </w:tcPr>
          <w:p w:rsidR="00853A1F" w:rsidRPr="00853A1F" w:rsidRDefault="00853A1F" w:rsidP="00853A1F">
            <w:pPr>
              <w:spacing w:after="0" w:line="240" w:lineRule="auto"/>
              <w:jc w:val="both"/>
              <w:rPr>
                <w:szCs w:val="24"/>
                <w:u w:val="single"/>
                <w:lang w:val="en-GB"/>
              </w:rPr>
            </w:pPr>
            <w:r w:rsidRPr="00853A1F">
              <w:rPr>
                <w:szCs w:val="24"/>
                <w:u w:val="single"/>
                <w:lang w:val="en-GB"/>
              </w:rPr>
              <w:t xml:space="preserve">For Management </w:t>
            </w:r>
            <w:r w:rsidR="001E391C">
              <w:rPr>
                <w:szCs w:val="24"/>
                <w:u w:val="single"/>
                <w:lang w:val="en-GB"/>
              </w:rPr>
              <w:t xml:space="preserve">positions, including those </w:t>
            </w:r>
            <w:r w:rsidR="0059393F">
              <w:rPr>
                <w:szCs w:val="24"/>
                <w:u w:val="single"/>
                <w:lang w:val="en-GB"/>
              </w:rPr>
              <w:t xml:space="preserve">equivalent to </w:t>
            </w:r>
            <w:r w:rsidRPr="00853A1F">
              <w:rPr>
                <w:szCs w:val="24"/>
                <w:u w:val="single"/>
                <w:lang w:val="en-GB"/>
              </w:rPr>
              <w:t>Grade VIII and above:</w:t>
            </w:r>
          </w:p>
          <w:p w:rsidR="00853A1F" w:rsidRDefault="00853A1F" w:rsidP="00853A1F">
            <w:pPr>
              <w:spacing w:after="0" w:line="240" w:lineRule="auto"/>
              <w:jc w:val="both"/>
              <w:rPr>
                <w:szCs w:val="24"/>
                <w:lang w:val="en-GB"/>
              </w:rPr>
            </w:pPr>
            <w:r w:rsidRPr="009D24DE">
              <w:rPr>
                <w:szCs w:val="24"/>
                <w:lang w:val="en-GB"/>
              </w:rPr>
              <w:t xml:space="preserve">Where </w:t>
            </w:r>
            <w:r>
              <w:rPr>
                <w:szCs w:val="24"/>
                <w:lang w:val="en-GB"/>
              </w:rPr>
              <w:t>a candidate intends</w:t>
            </w:r>
            <w:r w:rsidRPr="009D24DE">
              <w:rPr>
                <w:szCs w:val="24"/>
                <w:lang w:val="en-GB"/>
              </w:rPr>
              <w:t xml:space="preserve"> to resign from employment, </w:t>
            </w:r>
            <w:r>
              <w:rPr>
                <w:szCs w:val="24"/>
                <w:lang w:val="en-GB"/>
              </w:rPr>
              <w:t xml:space="preserve">they </w:t>
            </w:r>
            <w:r w:rsidRPr="00D337F3">
              <w:rPr>
                <w:szCs w:val="24"/>
                <w:lang w:val="en-GB"/>
              </w:rPr>
              <w:t>will be required to give the organisation</w:t>
            </w:r>
            <w:r>
              <w:rPr>
                <w:szCs w:val="24"/>
                <w:lang w:val="en-GB"/>
              </w:rPr>
              <w:t xml:space="preserve"> a minimum of 3 month’s</w:t>
            </w:r>
            <w:r w:rsidRPr="00B352ED">
              <w:rPr>
                <w:szCs w:val="24"/>
                <w:lang w:val="en-GB"/>
              </w:rPr>
              <w:t xml:space="preserve"> notice </w:t>
            </w:r>
            <w:r w:rsidRPr="00D337F3">
              <w:rPr>
                <w:szCs w:val="24"/>
                <w:lang w:val="en-GB"/>
              </w:rPr>
              <w:t>in writing</w:t>
            </w:r>
            <w:r>
              <w:rPr>
                <w:szCs w:val="24"/>
                <w:lang w:val="en-GB"/>
              </w:rPr>
              <w:t>.</w:t>
            </w:r>
          </w:p>
          <w:p w:rsidR="00853A1F" w:rsidRDefault="00853A1F" w:rsidP="00853A1F">
            <w:pPr>
              <w:spacing w:after="0" w:line="240" w:lineRule="auto"/>
              <w:jc w:val="both"/>
              <w:rPr>
                <w:szCs w:val="24"/>
                <w:lang w:val="en-GB"/>
              </w:rPr>
            </w:pPr>
          </w:p>
          <w:p w:rsidR="00853A1F" w:rsidRPr="00853A1F" w:rsidRDefault="00853A1F" w:rsidP="00853A1F">
            <w:pPr>
              <w:spacing w:after="0" w:line="240" w:lineRule="auto"/>
              <w:jc w:val="both"/>
              <w:rPr>
                <w:szCs w:val="24"/>
                <w:u w:val="single"/>
                <w:lang w:val="en-GB"/>
              </w:rPr>
            </w:pPr>
            <w:r w:rsidRPr="00853A1F">
              <w:rPr>
                <w:szCs w:val="24"/>
                <w:u w:val="single"/>
                <w:lang w:val="en-GB"/>
              </w:rPr>
              <w:t>For all other positions:</w:t>
            </w:r>
          </w:p>
          <w:p w:rsidR="001E391C" w:rsidRPr="00853A1F" w:rsidRDefault="00853A1F" w:rsidP="00853A1F">
            <w:pPr>
              <w:spacing w:after="0" w:line="240" w:lineRule="auto"/>
              <w:jc w:val="both"/>
              <w:rPr>
                <w:szCs w:val="24"/>
                <w:lang w:val="en-GB"/>
              </w:rPr>
            </w:pPr>
            <w:r>
              <w:rPr>
                <w:szCs w:val="24"/>
                <w:lang w:val="en-GB"/>
              </w:rPr>
              <w:t xml:space="preserve">Where a candidate intends to resign from employment, they will be required to give the organisation a minimum of 4 </w:t>
            </w:r>
            <w:r w:rsidR="001E391C">
              <w:rPr>
                <w:szCs w:val="24"/>
                <w:lang w:val="en-GB"/>
              </w:rPr>
              <w:t>weeks’ notice</w:t>
            </w:r>
            <w:r>
              <w:rPr>
                <w:szCs w:val="24"/>
                <w:lang w:val="en-GB"/>
              </w:rPr>
              <w:t xml:space="preserve"> in writing.</w:t>
            </w:r>
          </w:p>
        </w:tc>
      </w:tr>
      <w:bookmarkEnd w:id="0"/>
    </w:tbl>
    <w:p w:rsidR="00D15841" w:rsidRPr="00CD7189" w:rsidRDefault="00D15841" w:rsidP="00916B05">
      <w:pPr>
        <w:rPr>
          <w:rFonts w:ascii="Calibri" w:hAnsi="Calibri" w:cs="Calibri"/>
        </w:rPr>
      </w:pPr>
    </w:p>
    <w:sectPr w:rsidR="00D15841" w:rsidRPr="00CD7189" w:rsidSect="00520E4F">
      <w:headerReference w:type="even" r:id="rId9"/>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25F" w:rsidRDefault="00FF325F" w:rsidP="00B808E4">
      <w:pPr>
        <w:spacing w:after="0" w:line="240" w:lineRule="auto"/>
      </w:pPr>
      <w:r>
        <w:separator/>
      </w:r>
    </w:p>
  </w:endnote>
  <w:endnote w:type="continuationSeparator" w:id="0">
    <w:p w:rsidR="00FF325F" w:rsidRDefault="00FF325F" w:rsidP="00B8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gfaRotisSansSerif">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DA6" w:rsidRPr="00067283" w:rsidRDefault="00067283">
    <w:pPr>
      <w:pStyle w:val="Footer"/>
      <w:rPr>
        <w:b/>
      </w:rPr>
    </w:pPr>
    <w:r w:rsidRPr="00067283">
      <w:rPr>
        <w:b/>
      </w:rPr>
      <w:t>Children’s Health Ireland – Terms and Conditions of Employment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25F" w:rsidRDefault="00FF325F" w:rsidP="00B808E4">
      <w:pPr>
        <w:spacing w:after="0" w:line="240" w:lineRule="auto"/>
      </w:pPr>
      <w:r>
        <w:separator/>
      </w:r>
    </w:p>
  </w:footnote>
  <w:footnote w:type="continuationSeparator" w:id="0">
    <w:p w:rsidR="00FF325F" w:rsidRDefault="00FF325F" w:rsidP="00B80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F4" w:rsidRDefault="001B2E13">
    <w:pPr>
      <w:pStyle w:val="Header"/>
    </w:pPr>
    <w:r>
      <w:rPr>
        <w:noProof/>
        <w:lang w:eastAsia="en-IE"/>
      </w:rPr>
      <mc:AlternateContent>
        <mc:Choice Requires="wps">
          <w:drawing>
            <wp:anchor distT="0" distB="0" distL="114300" distR="114300" simplePos="0" relativeHeight="251660288" behindDoc="1" locked="0" layoutInCell="0" allowOverlap="1" wp14:anchorId="1732F18A" wp14:editId="1868FC9F">
              <wp:simplePos x="0" y="0"/>
              <wp:positionH relativeFrom="margin">
                <wp:align>center</wp:align>
              </wp:positionH>
              <wp:positionV relativeFrom="margin">
                <wp:align>center</wp:align>
              </wp:positionV>
              <wp:extent cx="5050155" cy="3030220"/>
              <wp:effectExtent l="0" t="1104900" r="0" b="63690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367F4" w:rsidRDefault="001B2E13" w:rsidP="00A4055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32F18A" id="_x0000_t202" coordsize="21600,21600" o:spt="202" path="m,l,21600r21600,l21600,xe">
              <v:stroke joinstyle="miter"/>
              <v:path gradientshapeok="t" o:connecttype="rect"/>
            </v:shapetype>
            <v:shape id="WordArt 2" o:spid="_x0000_s1026" type="#_x0000_t202" style="position:absolute;margin-left:0;margin-top:0;width:397.65pt;height:238.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sdhwIAAPwEAAAOAAAAZHJzL2Uyb0RvYy54bWysVMtu2zAQvBfoPxC8O3pESiwhcmAncS9p&#10;GyAucqZFymIrPkrSloyi/94lpThJeymK+kCTq9Xs7M5QV9eD6NCBGcuVrHByFmPEZK0ol7sKf9ms&#10;Z3OMrCOSkk5JVuEjs/h68f7dVa9LlqpWdZQZBCDSlr2ucOucLqPI1i0TxJ4pzSQ8bJQRxMHR7CJq&#10;SA/ooovSOL6IemWoNqpm1kL0dnyIFwG/aVjtPjeNZQ51FQZuLqwmrFu/RosrUu4M0S2vJxrkH1gI&#10;wiUUPUHdEkfQ3vA/oASvjbKqcWe1EpFqGl6z0AN0k8S/dfPYEs1CLzAcq09jsv8Ptv50eDCI0wqn&#10;GEkiQKInmOjSOJT64fTalpDzqCHLDSs1gMihUavvVf3NIqluWiJ3bGmM6ltGKJBLAGoKhxY2Rw24&#10;Ibphg7ujHHRIPHz0Cn8sZn2lbf9RUXiF7J0K1YbGCGSUf21exP4XwjA/BIxA2ONJTCiAagjmcR4n&#10;eY5RDc/O4/M4TYPcESk9mhdLG+s+MCWQ31TYgFsCLDncW+fZvaT4dECG+LQb1f1RJGkWr9Jitr6Y&#10;X86ydZbPist4PouTYlVcxFmR3a5/etAkK1tOKZP3XLJnpyXZ3yk5eX70SPAa6itc5Gke+FrVcbrm&#10;Xee5WbPb3nQGHYi3/DirsZc3aUbtJYU4Kb1od9PeEd6N++gt4zAMGMDzfxhEUM8LNkrnhu0AiF7S&#10;raJH0LGHi1Vh+31PDANP7MWNAlJghMYoMfnMnz0Nr8FmeCJGT3I4KPfQPV+soInP29HJp4R+BSDR&#10;wX2FXlEeXDF2OiVP+o2oYTZ6CY5a8yDuC8/Jh3DFQnvT58Df4dfnkPXy0Vr8AgAA//8DAFBLAwQU&#10;AAYACAAAACEAICYc8dwAAAAFAQAADwAAAGRycy9kb3ducmV2LnhtbEyPwU7DMBBE70j8g7VI3KhD&#10;C4SmcSpExKHHtoizG2+TgL0OsdOkfD0LF7isNJrRzNt8PTkrTtiH1pOC21kCAqnypqVawev+5eYR&#10;RIiajLaeUMEZA6yLy4tcZ8aPtMXTLtaCSyhkWkETY5dJGaoGnQ4z3yGxd/S905FlX0vT65HLnZXz&#10;JHmQTrfEC43u8LnB6mM3OAXm63juFuO432y25fBp27LEt3elrq+mpxWIiFP8C8MPPqNDwUwHP5AJ&#10;wirgR+LvZS9d3i9AHBTcpekcZJHL//TFNwAAAP//AwBQSwECLQAUAAYACAAAACEAtoM4kv4AAADh&#10;AQAAEwAAAAAAAAAAAAAAAAAAAAAAW0NvbnRlbnRfVHlwZXNdLnhtbFBLAQItABQABgAIAAAAIQA4&#10;/SH/1gAAAJQBAAALAAAAAAAAAAAAAAAAAC8BAABfcmVscy8ucmVsc1BLAQItABQABgAIAAAAIQCx&#10;FXsdhwIAAPwEAAAOAAAAAAAAAAAAAAAAAC4CAABkcnMvZTJvRG9jLnhtbFBLAQItABQABgAIAAAA&#10;IQAgJhzx3AAAAAUBAAAPAAAAAAAAAAAAAAAAAOEEAABkcnMvZG93bnJldi54bWxQSwUGAAAAAAQA&#10;BADzAAAA6gUAAAAA&#10;" o:allowincell="f" filled="f" stroked="f">
              <v:stroke joinstyle="round"/>
              <o:lock v:ext="edit" shapetype="t"/>
              <v:textbox style="mso-fit-shape-to-text:t">
                <w:txbxContent>
                  <w:p w:rsidR="00C367F4" w:rsidRDefault="001B2E13" w:rsidP="00A4055E">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7F4" w:rsidRDefault="001B2E13" w:rsidP="00F85D0A">
    <w:pPr>
      <w:tabs>
        <w:tab w:val="left" w:pos="6728"/>
      </w:tabs>
      <w:spacing w:after="0" w:line="240" w:lineRule="auto"/>
      <w:ind w:right="-1054"/>
    </w:pPr>
    <w:r>
      <w:rPr>
        <w:noProof/>
        <w:lang w:eastAsia="en-IE"/>
      </w:rPr>
      <w:drawing>
        <wp:inline distT="0" distB="0" distL="0" distR="0" wp14:anchorId="0EB0302A" wp14:editId="1FC4244A">
          <wp:extent cx="1057275" cy="542925"/>
          <wp:effectExtent l="0" t="0" r="9525" b="9525"/>
          <wp:docPr id="4" name="Picture 4" descr="cid:image001.png@01D49919.6951D5F0"/>
          <wp:cNvGraphicFramePr/>
          <a:graphic xmlns:a="http://schemas.openxmlformats.org/drawingml/2006/main">
            <a:graphicData uri="http://schemas.openxmlformats.org/drawingml/2006/picture">
              <pic:pic xmlns:pic="http://schemas.openxmlformats.org/drawingml/2006/picture">
                <pic:nvPicPr>
                  <pic:cNvPr id="1" name="Picture 1" descr="cid:image001.png@01D49919.6951D5F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E743E"/>
    <w:multiLevelType w:val="hybridMultilevel"/>
    <w:tmpl w:val="5AE46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8530F7F"/>
    <w:multiLevelType w:val="hybridMultilevel"/>
    <w:tmpl w:val="F83A87EA"/>
    <w:lvl w:ilvl="0" w:tplc="1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BF5605B"/>
    <w:multiLevelType w:val="hybridMultilevel"/>
    <w:tmpl w:val="9EDE24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E3E0DF9"/>
    <w:multiLevelType w:val="hybridMultilevel"/>
    <w:tmpl w:val="B11E5BE0"/>
    <w:lvl w:ilvl="0" w:tplc="1809000B">
      <w:start w:val="1"/>
      <w:numFmt w:val="bullet"/>
      <w:lvlText w:val=""/>
      <w:lvlJc w:val="left"/>
      <w:pPr>
        <w:ind w:left="900" w:hanging="360"/>
      </w:pPr>
      <w:rPr>
        <w:rFonts w:ascii="Wingdings" w:hAnsi="Wingdings"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4" w15:restartNumberingAfterBreak="0">
    <w:nsid w:val="56973728"/>
    <w:multiLevelType w:val="hybridMultilevel"/>
    <w:tmpl w:val="C6E243F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abstractNum w:abstractNumId="5" w15:restartNumberingAfterBreak="0">
    <w:nsid w:val="5B32561E"/>
    <w:multiLevelType w:val="multilevel"/>
    <w:tmpl w:val="F72E3F0A"/>
    <w:lvl w:ilvl="0">
      <w:start w:val="1"/>
      <w:numFmt w:val="decimal"/>
      <w:pStyle w:val="Level1"/>
      <w:lvlText w:val="%1."/>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850"/>
        </w:tabs>
        <w:ind w:left="850" w:hanging="850"/>
      </w:pPr>
      <w:rPr>
        <w:rFonts w:ascii="Calibri" w:hAnsi="Calibr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1417"/>
        </w:tabs>
        <w:ind w:left="1417" w:hanging="567"/>
      </w:pPr>
      <w:rPr>
        <w:rFonts w:ascii="Calibri" w:hAnsi="Calibr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1984"/>
        </w:tabs>
        <w:ind w:left="1984" w:hanging="567"/>
      </w:pPr>
      <w:rPr>
        <w:rFonts w:ascii="Calibri" w:hAnsi="Calibri"/>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5F88252F"/>
    <w:multiLevelType w:val="hybridMultilevel"/>
    <w:tmpl w:val="22AECC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02076E7"/>
    <w:multiLevelType w:val="hybridMultilevel"/>
    <w:tmpl w:val="7B8AC1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0C24E6D"/>
    <w:multiLevelType w:val="hybridMultilevel"/>
    <w:tmpl w:val="F934D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6FE5B43"/>
    <w:multiLevelType w:val="hybridMultilevel"/>
    <w:tmpl w:val="C612516A"/>
    <w:lvl w:ilvl="0" w:tplc="1ADCE856">
      <w:numFmt w:val="bullet"/>
      <w:lvlText w:val=""/>
      <w:lvlJc w:val="left"/>
      <w:pPr>
        <w:tabs>
          <w:tab w:val="num" w:pos="720"/>
        </w:tabs>
        <w:ind w:left="72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5B2F50"/>
    <w:multiLevelType w:val="hybridMultilevel"/>
    <w:tmpl w:val="4008C0F8"/>
    <w:lvl w:ilvl="0" w:tplc="1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7710ECF"/>
    <w:multiLevelType w:val="hybridMultilevel"/>
    <w:tmpl w:val="B8505518"/>
    <w:lvl w:ilvl="0" w:tplc="F58ED5EE">
      <w:numFmt w:val="bullet"/>
      <w:lvlText w:val="•"/>
      <w:lvlJc w:val="left"/>
      <w:pPr>
        <w:ind w:left="360" w:hanging="360"/>
      </w:pPr>
      <w:rPr>
        <w:rFonts w:ascii="Arial" w:eastAsia="Arial" w:hAnsi="Arial" w:cs="Arial" w:hint="default"/>
        <w:w w:val="110"/>
        <w:sz w:val="22"/>
        <w:szCs w:val="22"/>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7FD97C83"/>
    <w:multiLevelType w:val="hybridMultilevel"/>
    <w:tmpl w:val="01B60EA8"/>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hint="default"/>
      </w:rPr>
    </w:lvl>
    <w:lvl w:ilvl="8" w:tplc="18090005">
      <w:start w:val="1"/>
      <w:numFmt w:val="bullet"/>
      <w:lvlText w:val=""/>
      <w:lvlJc w:val="left"/>
      <w:pPr>
        <w:ind w:left="6120" w:hanging="360"/>
      </w:pPr>
      <w:rPr>
        <w:rFonts w:ascii="Wingdings" w:hAnsi="Wingdings" w:hint="default"/>
      </w:rPr>
    </w:lvl>
  </w:abstractNum>
  <w:num w:numId="1">
    <w:abstractNumId w:val="12"/>
  </w:num>
  <w:num w:numId="2">
    <w:abstractNumId w:val="4"/>
  </w:num>
  <w:num w:numId="3">
    <w:abstractNumId w:val="3"/>
  </w:num>
  <w:num w:numId="4">
    <w:abstractNumId w:val="10"/>
  </w:num>
  <w:num w:numId="5">
    <w:abstractNumId w:val="1"/>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6"/>
  </w:num>
  <w:num w:numId="9">
    <w:abstractNumId w:val="2"/>
  </w:num>
  <w:num w:numId="10">
    <w:abstractNumId w:val="8"/>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8E4"/>
    <w:rsid w:val="00006FD0"/>
    <w:rsid w:val="00010B84"/>
    <w:rsid w:val="00012CB6"/>
    <w:rsid w:val="00067283"/>
    <w:rsid w:val="00071B25"/>
    <w:rsid w:val="000F2038"/>
    <w:rsid w:val="0010624B"/>
    <w:rsid w:val="001A6F8C"/>
    <w:rsid w:val="001B2E13"/>
    <w:rsid w:val="001D16F8"/>
    <w:rsid w:val="001E391C"/>
    <w:rsid w:val="001F04E0"/>
    <w:rsid w:val="00206E4A"/>
    <w:rsid w:val="00256320"/>
    <w:rsid w:val="00267A85"/>
    <w:rsid w:val="002802FE"/>
    <w:rsid w:val="002A3986"/>
    <w:rsid w:val="002D56E6"/>
    <w:rsid w:val="002E2B91"/>
    <w:rsid w:val="002E3712"/>
    <w:rsid w:val="00343BFC"/>
    <w:rsid w:val="00350BA2"/>
    <w:rsid w:val="003668ED"/>
    <w:rsid w:val="003C6466"/>
    <w:rsid w:val="003F7035"/>
    <w:rsid w:val="0044372B"/>
    <w:rsid w:val="00444A33"/>
    <w:rsid w:val="0049714C"/>
    <w:rsid w:val="004E536D"/>
    <w:rsid w:val="00544C5F"/>
    <w:rsid w:val="00570F21"/>
    <w:rsid w:val="00591D97"/>
    <w:rsid w:val="0059393F"/>
    <w:rsid w:val="005B0250"/>
    <w:rsid w:val="005C04E0"/>
    <w:rsid w:val="005C3AB8"/>
    <w:rsid w:val="00640E52"/>
    <w:rsid w:val="00677737"/>
    <w:rsid w:val="006D6D6A"/>
    <w:rsid w:val="006F1BC2"/>
    <w:rsid w:val="00713320"/>
    <w:rsid w:val="00735AEA"/>
    <w:rsid w:val="00753DE6"/>
    <w:rsid w:val="007C4AE3"/>
    <w:rsid w:val="008216A1"/>
    <w:rsid w:val="00830D20"/>
    <w:rsid w:val="00851B10"/>
    <w:rsid w:val="00853A1F"/>
    <w:rsid w:val="00916B05"/>
    <w:rsid w:val="00976370"/>
    <w:rsid w:val="009C652C"/>
    <w:rsid w:val="009E5977"/>
    <w:rsid w:val="00A10BF9"/>
    <w:rsid w:val="00A14794"/>
    <w:rsid w:val="00A16103"/>
    <w:rsid w:val="00A34B3B"/>
    <w:rsid w:val="00A7140C"/>
    <w:rsid w:val="00AB689F"/>
    <w:rsid w:val="00B11579"/>
    <w:rsid w:val="00B1546F"/>
    <w:rsid w:val="00B808E4"/>
    <w:rsid w:val="00BE76F5"/>
    <w:rsid w:val="00C34EE6"/>
    <w:rsid w:val="00CC0EAE"/>
    <w:rsid w:val="00CD1B25"/>
    <w:rsid w:val="00CD7189"/>
    <w:rsid w:val="00CE06DB"/>
    <w:rsid w:val="00D15841"/>
    <w:rsid w:val="00DE4CCB"/>
    <w:rsid w:val="00E05937"/>
    <w:rsid w:val="00E419CD"/>
    <w:rsid w:val="00E85444"/>
    <w:rsid w:val="00E94922"/>
    <w:rsid w:val="00E95C6F"/>
    <w:rsid w:val="00EB56D9"/>
    <w:rsid w:val="00F0140A"/>
    <w:rsid w:val="00F130DB"/>
    <w:rsid w:val="00F149CA"/>
    <w:rsid w:val="00F25541"/>
    <w:rsid w:val="00F35A23"/>
    <w:rsid w:val="00F87E2A"/>
    <w:rsid w:val="00FA3995"/>
    <w:rsid w:val="00FF044F"/>
    <w:rsid w:val="00FF32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F5717"/>
  <w15:chartTrackingRefBased/>
  <w15:docId w15:val="{1D9346EB-11B2-4648-822E-BE85C69E7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8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808E4"/>
    <w:pPr>
      <w:tabs>
        <w:tab w:val="center" w:pos="4513"/>
        <w:tab w:val="right" w:pos="9026"/>
      </w:tabs>
      <w:spacing w:after="0" w:line="240" w:lineRule="auto"/>
    </w:pPr>
  </w:style>
  <w:style w:type="character" w:customStyle="1" w:styleId="HeaderChar">
    <w:name w:val="Header Char"/>
    <w:basedOn w:val="DefaultParagraphFont"/>
    <w:link w:val="Header"/>
    <w:rsid w:val="00B808E4"/>
  </w:style>
  <w:style w:type="paragraph" w:styleId="Footer">
    <w:name w:val="footer"/>
    <w:basedOn w:val="Normal"/>
    <w:link w:val="FooterChar"/>
    <w:uiPriority w:val="99"/>
    <w:unhideWhenUsed/>
    <w:rsid w:val="00B80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8E4"/>
  </w:style>
  <w:style w:type="table" w:styleId="TableGrid">
    <w:name w:val="Table Grid"/>
    <w:basedOn w:val="TableNormal"/>
    <w:uiPriority w:val="59"/>
    <w:rsid w:val="00B80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B808E4"/>
    <w:pPr>
      <w:spacing w:after="0" w:line="240" w:lineRule="auto"/>
      <w:ind w:left="720"/>
      <w:contextualSpacing/>
    </w:pPr>
    <w:rPr>
      <w:rFonts w:ascii="Cambria" w:eastAsia="Cambria" w:hAnsi="Cambria" w:cs="Times New Roman"/>
      <w:sz w:val="24"/>
      <w:szCs w:val="24"/>
      <w:lang w:val="en-US"/>
    </w:rPr>
  </w:style>
  <w:style w:type="character" w:styleId="Hyperlink">
    <w:name w:val="Hyperlink"/>
    <w:rsid w:val="00B808E4"/>
    <w:rPr>
      <w:color w:val="0000FF"/>
      <w:u w:val="single"/>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B808E4"/>
    <w:rPr>
      <w:rFonts w:ascii="Cambria" w:eastAsia="Cambria" w:hAnsi="Cambria" w:cs="Times New Roman"/>
      <w:sz w:val="24"/>
      <w:szCs w:val="24"/>
      <w:lang w:val="en-US"/>
    </w:rPr>
  </w:style>
  <w:style w:type="character" w:styleId="CommentReference">
    <w:name w:val="annotation reference"/>
    <w:basedOn w:val="DefaultParagraphFont"/>
    <w:uiPriority w:val="99"/>
    <w:semiHidden/>
    <w:unhideWhenUsed/>
    <w:rsid w:val="00B808E4"/>
    <w:rPr>
      <w:sz w:val="16"/>
      <w:szCs w:val="16"/>
    </w:rPr>
  </w:style>
  <w:style w:type="paragraph" w:styleId="CommentText">
    <w:name w:val="annotation text"/>
    <w:basedOn w:val="Normal"/>
    <w:link w:val="CommentTextChar"/>
    <w:uiPriority w:val="99"/>
    <w:semiHidden/>
    <w:unhideWhenUsed/>
    <w:rsid w:val="00B808E4"/>
    <w:pPr>
      <w:spacing w:line="240" w:lineRule="auto"/>
    </w:pPr>
    <w:rPr>
      <w:sz w:val="20"/>
      <w:szCs w:val="20"/>
    </w:rPr>
  </w:style>
  <w:style w:type="character" w:customStyle="1" w:styleId="CommentTextChar">
    <w:name w:val="Comment Text Char"/>
    <w:basedOn w:val="DefaultParagraphFont"/>
    <w:link w:val="CommentText"/>
    <w:uiPriority w:val="99"/>
    <w:semiHidden/>
    <w:rsid w:val="00B808E4"/>
    <w:rPr>
      <w:sz w:val="20"/>
      <w:szCs w:val="20"/>
    </w:rPr>
  </w:style>
  <w:style w:type="paragraph" w:styleId="NormalWeb">
    <w:name w:val="Normal (Web)"/>
    <w:basedOn w:val="Normal"/>
    <w:uiPriority w:val="99"/>
    <w:semiHidden/>
    <w:unhideWhenUsed/>
    <w:rsid w:val="00B808E4"/>
    <w:pPr>
      <w:spacing w:before="100" w:beforeAutospacing="1" w:after="100" w:afterAutospacing="1" w:line="240" w:lineRule="auto"/>
    </w:pPr>
    <w:rPr>
      <w:rFonts w:ascii="Times New Roman" w:eastAsiaTheme="minorEastAsia" w:hAnsi="Times New Roman" w:cs="Times New Roman"/>
      <w:sz w:val="24"/>
      <w:szCs w:val="24"/>
      <w:lang w:eastAsia="en-IE"/>
    </w:rPr>
  </w:style>
  <w:style w:type="paragraph" w:styleId="BodyText">
    <w:name w:val="Body Text"/>
    <w:basedOn w:val="Normal"/>
    <w:link w:val="BodyTextChar"/>
    <w:rsid w:val="00B808E4"/>
    <w:pPr>
      <w:spacing w:after="0" w:line="240" w:lineRule="auto"/>
    </w:pPr>
    <w:rPr>
      <w:rFonts w:ascii="Arial" w:eastAsia="Times New Roman" w:hAnsi="Arial" w:cs="Arial"/>
      <w:sz w:val="24"/>
      <w:szCs w:val="20"/>
      <w:lang w:val="en-GB" w:eastAsia="en-GB"/>
    </w:rPr>
  </w:style>
  <w:style w:type="character" w:customStyle="1" w:styleId="BodyTextChar">
    <w:name w:val="Body Text Char"/>
    <w:basedOn w:val="DefaultParagraphFont"/>
    <w:link w:val="BodyText"/>
    <w:rsid w:val="00B808E4"/>
    <w:rPr>
      <w:rFonts w:ascii="Arial" w:eastAsia="Times New Roman" w:hAnsi="Arial" w:cs="Arial"/>
      <w:sz w:val="24"/>
      <w:szCs w:val="20"/>
      <w:lang w:val="en-GB" w:eastAsia="en-GB"/>
    </w:rPr>
  </w:style>
  <w:style w:type="paragraph" w:customStyle="1" w:styleId="Pa1">
    <w:name w:val="Pa1"/>
    <w:basedOn w:val="Normal"/>
    <w:next w:val="Normal"/>
    <w:uiPriority w:val="99"/>
    <w:rsid w:val="00B808E4"/>
    <w:pPr>
      <w:autoSpaceDE w:val="0"/>
      <w:autoSpaceDN w:val="0"/>
      <w:adjustRightInd w:val="0"/>
      <w:spacing w:after="0" w:line="241" w:lineRule="atLeast"/>
    </w:pPr>
    <w:rPr>
      <w:rFonts w:ascii="AgfaRotisSansSerif" w:hAnsi="AgfaRotisSansSerif"/>
      <w:sz w:val="24"/>
      <w:szCs w:val="24"/>
      <w:lang w:val="en-GB"/>
    </w:rPr>
  </w:style>
  <w:style w:type="paragraph" w:styleId="BalloonText">
    <w:name w:val="Balloon Text"/>
    <w:basedOn w:val="Normal"/>
    <w:link w:val="BalloonTextChar"/>
    <w:uiPriority w:val="99"/>
    <w:semiHidden/>
    <w:unhideWhenUsed/>
    <w:rsid w:val="00B80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8E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08E4"/>
    <w:rPr>
      <w:b/>
      <w:bCs/>
    </w:rPr>
  </w:style>
  <w:style w:type="character" w:customStyle="1" w:styleId="CommentSubjectChar">
    <w:name w:val="Comment Subject Char"/>
    <w:basedOn w:val="CommentTextChar"/>
    <w:link w:val="CommentSubject"/>
    <w:uiPriority w:val="99"/>
    <w:semiHidden/>
    <w:rsid w:val="00B808E4"/>
    <w:rPr>
      <w:b/>
      <w:bCs/>
      <w:sz w:val="20"/>
      <w:szCs w:val="20"/>
    </w:rPr>
  </w:style>
  <w:style w:type="paragraph" w:styleId="NoSpacing">
    <w:name w:val="No Spacing"/>
    <w:uiPriority w:val="1"/>
    <w:qFormat/>
    <w:rsid w:val="00976370"/>
    <w:pPr>
      <w:spacing w:after="0" w:line="240" w:lineRule="auto"/>
    </w:pPr>
  </w:style>
  <w:style w:type="paragraph" w:customStyle="1" w:styleId="Level1">
    <w:name w:val="Level 1"/>
    <w:basedOn w:val="Normal"/>
    <w:link w:val="Level1Char"/>
    <w:uiPriority w:val="99"/>
    <w:rsid w:val="00853A1F"/>
    <w:pPr>
      <w:numPr>
        <w:numId w:val="13"/>
      </w:numPr>
      <w:adjustRightInd w:val="0"/>
      <w:spacing w:after="210" w:line="270" w:lineRule="atLeast"/>
      <w:jc w:val="both"/>
    </w:pPr>
    <w:rPr>
      <w:rFonts w:ascii="Calibri" w:eastAsia="Calibri" w:hAnsi="Calibri" w:cs="Calibri"/>
      <w:sz w:val="21"/>
      <w:szCs w:val="21"/>
      <w:lang w:eastAsia="en-IE"/>
    </w:rPr>
  </w:style>
  <w:style w:type="paragraph" w:customStyle="1" w:styleId="Level2">
    <w:name w:val="Level 2"/>
    <w:basedOn w:val="Normal"/>
    <w:uiPriority w:val="99"/>
    <w:rsid w:val="00853A1F"/>
    <w:pPr>
      <w:numPr>
        <w:ilvl w:val="1"/>
        <w:numId w:val="13"/>
      </w:numPr>
      <w:adjustRightInd w:val="0"/>
      <w:spacing w:after="210" w:line="270" w:lineRule="atLeast"/>
      <w:jc w:val="both"/>
    </w:pPr>
    <w:rPr>
      <w:rFonts w:ascii="Calibri" w:eastAsia="Calibri" w:hAnsi="Calibri" w:cs="Calibri"/>
      <w:sz w:val="21"/>
      <w:szCs w:val="21"/>
      <w:lang w:eastAsia="en-IE"/>
    </w:rPr>
  </w:style>
  <w:style w:type="paragraph" w:customStyle="1" w:styleId="Level3">
    <w:name w:val="Level 3"/>
    <w:basedOn w:val="Normal"/>
    <w:uiPriority w:val="99"/>
    <w:rsid w:val="00853A1F"/>
    <w:pPr>
      <w:numPr>
        <w:ilvl w:val="2"/>
        <w:numId w:val="13"/>
      </w:numPr>
      <w:adjustRightInd w:val="0"/>
      <w:spacing w:after="210" w:line="270" w:lineRule="atLeast"/>
      <w:jc w:val="both"/>
    </w:pPr>
    <w:rPr>
      <w:rFonts w:ascii="Calibri" w:eastAsia="Calibri" w:hAnsi="Calibri" w:cs="Calibri"/>
      <w:sz w:val="21"/>
      <w:szCs w:val="21"/>
      <w:lang w:eastAsia="en-IE"/>
    </w:rPr>
  </w:style>
  <w:style w:type="paragraph" w:customStyle="1" w:styleId="Level4">
    <w:name w:val="Level 4"/>
    <w:basedOn w:val="Normal"/>
    <w:uiPriority w:val="99"/>
    <w:rsid w:val="00853A1F"/>
    <w:pPr>
      <w:numPr>
        <w:ilvl w:val="3"/>
        <w:numId w:val="13"/>
      </w:numPr>
      <w:adjustRightInd w:val="0"/>
      <w:spacing w:after="210" w:line="270" w:lineRule="atLeast"/>
      <w:jc w:val="both"/>
    </w:pPr>
    <w:rPr>
      <w:rFonts w:ascii="Calibri" w:eastAsia="Calibri" w:hAnsi="Calibri" w:cs="Calibri"/>
      <w:sz w:val="21"/>
      <w:szCs w:val="21"/>
      <w:lang w:eastAsia="en-IE"/>
    </w:rPr>
  </w:style>
  <w:style w:type="paragraph" w:customStyle="1" w:styleId="Level5">
    <w:name w:val="Level 5"/>
    <w:basedOn w:val="Normal"/>
    <w:uiPriority w:val="99"/>
    <w:rsid w:val="00853A1F"/>
    <w:pPr>
      <w:numPr>
        <w:ilvl w:val="4"/>
        <w:numId w:val="13"/>
      </w:numPr>
      <w:adjustRightInd w:val="0"/>
      <w:spacing w:after="210" w:line="270" w:lineRule="atLeast"/>
      <w:jc w:val="both"/>
    </w:pPr>
    <w:rPr>
      <w:rFonts w:ascii="Calibri" w:eastAsia="Calibri" w:hAnsi="Calibri" w:cs="Calibri"/>
      <w:sz w:val="21"/>
      <w:szCs w:val="21"/>
      <w:lang w:eastAsia="en-IE"/>
    </w:rPr>
  </w:style>
  <w:style w:type="character" w:customStyle="1" w:styleId="Level1Char">
    <w:name w:val="Level 1 Char"/>
    <w:basedOn w:val="DefaultParagraphFont"/>
    <w:link w:val="Level1"/>
    <w:uiPriority w:val="99"/>
    <w:rsid w:val="00853A1F"/>
    <w:rPr>
      <w:rFonts w:ascii="Calibri" w:eastAsia="Calibri" w:hAnsi="Calibri" w:cs="Calibri"/>
      <w:sz w:val="21"/>
      <w:szCs w:val="21"/>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gov.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42D7B-47C5-4CFC-99AC-BDE60F45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jenny.campbell@nchg.ie</dc:creator>
  <cp:keywords/>
  <dc:description/>
  <cp:lastModifiedBy>Jenny Campbell</cp:lastModifiedBy>
  <cp:revision>2</cp:revision>
  <dcterms:created xsi:type="dcterms:W3CDTF">2022-11-08T16:30:00Z</dcterms:created>
  <dcterms:modified xsi:type="dcterms:W3CDTF">2022-11-08T16:30:00Z</dcterms:modified>
</cp:coreProperties>
</file>